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04" w:rsidRPr="006D6204" w:rsidRDefault="006D6204" w:rsidP="006D6204">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6D6204">
        <w:rPr>
          <w:rFonts w:ascii="Calibri" w:hAnsi="Calibri"/>
          <w:color w:val="000000" w:themeColor="text1"/>
          <w:sz w:val="54"/>
          <w:szCs w:val="54"/>
          <w:lang w:val="en"/>
        </w:rPr>
        <w:t>6.2 Human resources</w:t>
      </w:r>
    </w:p>
    <w:bookmarkEnd w:id="0"/>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6.2.1 General</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ISO 9001:2008 requires that personnel performing work affecting product quality must be competent, based on their education, training, skills and previous experience.</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Competent = a demonstrated ability to apply knowledge and skills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Developing human resources is one of the keys to </w:t>
      </w:r>
      <w:proofErr w:type="spellStart"/>
      <w:r w:rsidRPr="006D6204">
        <w:rPr>
          <w:rFonts w:ascii="Calibri" w:hAnsi="Calibri"/>
          <w:color w:val="000000" w:themeColor="text1"/>
          <w:sz w:val="20"/>
          <w:szCs w:val="20"/>
          <w:lang w:val="en" w:bidi="kn-IN"/>
        </w:rPr>
        <w:t>organisational</w:t>
      </w:r>
      <w:proofErr w:type="spellEnd"/>
      <w:r w:rsidRPr="006D6204">
        <w:rPr>
          <w:rFonts w:ascii="Calibri" w:hAnsi="Calibri"/>
          <w:color w:val="000000" w:themeColor="text1"/>
          <w:sz w:val="20"/>
          <w:szCs w:val="20"/>
          <w:lang w:val="en" w:bidi="kn-IN"/>
        </w:rPr>
        <w:t xml:space="preserve"> success. This section should demonstrate the level of planning required to develop human resources. </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6.2.2 Competence, training &amp; awareness</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Decide the necessary skills and competences</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Provide training</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Evaluate the effectiveness of the training</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Maintain records of education, training, skills and experience</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Ensure personnel are aware of: </w:t>
      </w:r>
    </w:p>
    <w:p w:rsidR="006D6204" w:rsidRPr="006D6204" w:rsidRDefault="006D6204" w:rsidP="006D6204">
      <w:pPr>
        <w:numPr>
          <w:ilvl w:val="1"/>
          <w:numId w:val="12"/>
        </w:numPr>
        <w:spacing w:before="100" w:beforeAutospacing="1" w:after="100" w:afterAutospacing="1" w:line="330" w:lineRule="atLeast"/>
        <w:ind w:left="69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their responsibilities</w:t>
      </w:r>
    </w:p>
    <w:p w:rsidR="006D6204" w:rsidRPr="006D6204" w:rsidRDefault="006D6204" w:rsidP="006D6204">
      <w:pPr>
        <w:numPr>
          <w:ilvl w:val="1"/>
          <w:numId w:val="12"/>
        </w:numPr>
        <w:spacing w:before="100" w:beforeAutospacing="1" w:after="100" w:afterAutospacing="1" w:line="330" w:lineRule="atLeast"/>
        <w:ind w:left="69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the relevance and importance of their duties</w:t>
      </w:r>
    </w:p>
    <w:p w:rsidR="006D6204" w:rsidRPr="006D6204" w:rsidRDefault="006D6204" w:rsidP="006D6204">
      <w:pPr>
        <w:numPr>
          <w:ilvl w:val="1"/>
          <w:numId w:val="12"/>
        </w:numPr>
        <w:spacing w:before="100" w:beforeAutospacing="1" w:after="100" w:afterAutospacing="1" w:line="330" w:lineRule="atLeast"/>
        <w:ind w:left="69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they contribute to the attainment of quality objectives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Define </w:t>
      </w:r>
      <w:r w:rsidRPr="006D6204">
        <w:rPr>
          <w:rFonts w:ascii="Calibri" w:hAnsi="Calibri"/>
          <w:b/>
          <w:bCs/>
          <w:color w:val="000000" w:themeColor="text1"/>
          <w:sz w:val="20"/>
          <w:szCs w:val="20"/>
          <w:lang w:val="en" w:bidi="kn-IN"/>
        </w:rPr>
        <w:t>competency</w:t>
      </w:r>
      <w:r w:rsidRPr="006D6204">
        <w:rPr>
          <w:rFonts w:ascii="Calibri" w:hAnsi="Calibri"/>
          <w:color w:val="000000" w:themeColor="text1"/>
          <w:sz w:val="20"/>
          <w:szCs w:val="20"/>
          <w:lang w:val="en" w:bidi="kn-IN"/>
        </w:rPr>
        <w:t xml:space="preserve"> requirements by:</w:t>
      </w:r>
    </w:p>
    <w:p w:rsidR="006D6204" w:rsidRPr="006D6204" w:rsidRDefault="006D6204" w:rsidP="006D6204">
      <w:pPr>
        <w:numPr>
          <w:ilvl w:val="0"/>
          <w:numId w:val="13"/>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Actively identifying training requirements</w:t>
      </w:r>
    </w:p>
    <w:p w:rsidR="006D6204" w:rsidRPr="006D6204" w:rsidRDefault="006D6204" w:rsidP="006D6204">
      <w:pPr>
        <w:numPr>
          <w:ilvl w:val="0"/>
          <w:numId w:val="13"/>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Actively delivering training</w:t>
      </w:r>
    </w:p>
    <w:p w:rsidR="006D6204" w:rsidRPr="006D6204" w:rsidRDefault="006D6204" w:rsidP="006D6204">
      <w:pPr>
        <w:numPr>
          <w:ilvl w:val="0"/>
          <w:numId w:val="13"/>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Actively monitoring the effectiveness of training</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Training should never be performed as a knee-jerk reaction with no real objectives, but instead, it should be geared toward empowering each employee with the skills and knowledge they need to move the </w:t>
      </w:r>
      <w:proofErr w:type="spellStart"/>
      <w:r w:rsidRPr="006D6204">
        <w:rPr>
          <w:rFonts w:ascii="Calibri" w:hAnsi="Calibri"/>
          <w:color w:val="000000" w:themeColor="text1"/>
          <w:sz w:val="20"/>
          <w:szCs w:val="20"/>
          <w:lang w:val="en" w:bidi="kn-IN"/>
        </w:rPr>
        <w:t>organisation</w:t>
      </w:r>
      <w:proofErr w:type="spellEnd"/>
      <w:r w:rsidRPr="006D6204">
        <w:rPr>
          <w:rFonts w:ascii="Calibri" w:hAnsi="Calibri"/>
          <w:color w:val="000000" w:themeColor="text1"/>
          <w:sz w:val="20"/>
          <w:szCs w:val="20"/>
          <w:lang w:val="en" w:bidi="kn-IN"/>
        </w:rPr>
        <w:t xml:space="preserve"> forward and enhance customer satisfaction.</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Staff should be trained to improve their skills and overall performance. Comparing existing performance to post-training performance is a simple way of assessing the effectiveness of training.</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Consider making provision for the following </w:t>
      </w:r>
      <w:r w:rsidRPr="006D6204">
        <w:rPr>
          <w:rFonts w:ascii="Calibri" w:hAnsi="Calibri"/>
          <w:b/>
          <w:bCs/>
          <w:color w:val="000000" w:themeColor="text1"/>
          <w:sz w:val="20"/>
          <w:szCs w:val="20"/>
          <w:lang w:val="en" w:bidi="kn-IN"/>
        </w:rPr>
        <w:t>audit questions</w:t>
      </w:r>
      <w:r w:rsidRPr="006D6204">
        <w:rPr>
          <w:rFonts w:ascii="Calibri" w:hAnsi="Calibri"/>
          <w:color w:val="000000" w:themeColor="text1"/>
          <w:sz w:val="20"/>
          <w:szCs w:val="20"/>
          <w:lang w:val="en" w:bidi="kn-IN"/>
        </w:rPr>
        <w:t>:</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training is given to new employees?</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is training evaluated?</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steps are taken when training is deemed ineffective?</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types training records are maintained?</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lastRenderedPageBreak/>
        <w:t>Should I document our competence, training &amp; awareness?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It is not a mandatory requirement to document your competence, training and awareness process, but since the competency of your staff is vital to achieving product and service conformance, you should always look to define and control this process. The implementation of a competence, training and awareness procedure should be a priority of all businesses.</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How's best to document competence, training &amp; awareness?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Develop and implement a procedure that defines:</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The responsibilities for coordinating training activities</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training needs are determined</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training is delivered</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training is evaluated</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records are maintained</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Measuring competence, training &amp; awareness effectiveness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The effectiveness of the competence, awareness and training process is verified by looking for evidence of an appropriate monitoring program that ensures the continuing development of staff and their ability to deliver. </w:t>
      </w:r>
    </w:p>
    <w:p w:rsidR="006D6204" w:rsidRPr="006D6204" w:rsidRDefault="006D6204" w:rsidP="006D6204">
      <w:pPr>
        <w:spacing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Ongoing changes in competency requirements, due customer requirements, will often demonstrate the </w:t>
      </w:r>
      <w:proofErr w:type="spellStart"/>
      <w:r w:rsidRPr="006D6204">
        <w:rPr>
          <w:rFonts w:ascii="Calibri" w:hAnsi="Calibri"/>
          <w:color w:val="000000" w:themeColor="text1"/>
          <w:sz w:val="20"/>
          <w:szCs w:val="20"/>
          <w:lang w:val="en" w:bidi="kn-IN"/>
        </w:rPr>
        <w:t>organisation’s</w:t>
      </w:r>
      <w:proofErr w:type="spellEnd"/>
      <w:r w:rsidRPr="006D6204">
        <w:rPr>
          <w:rFonts w:ascii="Calibri" w:hAnsi="Calibri"/>
          <w:color w:val="000000" w:themeColor="text1"/>
          <w:sz w:val="20"/>
          <w:szCs w:val="20"/>
          <w:lang w:val="en" w:bidi="kn-IN"/>
        </w:rPr>
        <w:t xml:space="preserve"> ability to proactively manage this process.</w:t>
      </w:r>
    </w:p>
    <w:p w:rsidR="003B0019" w:rsidRPr="006D6204" w:rsidRDefault="003B0019" w:rsidP="006D6204">
      <w:pPr>
        <w:rPr>
          <w:color w:val="000000" w:themeColor="text1"/>
          <w:sz w:val="20"/>
          <w:szCs w:val="20"/>
        </w:rPr>
      </w:pPr>
    </w:p>
    <w:sectPr w:rsidR="003B0019" w:rsidRPr="006D6204"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F0" w:rsidRDefault="003076F0" w:rsidP="00F6712D">
      <w:r>
        <w:separator/>
      </w:r>
    </w:p>
  </w:endnote>
  <w:endnote w:type="continuationSeparator" w:id="0">
    <w:p w:rsidR="003076F0" w:rsidRDefault="003076F0"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F0" w:rsidRDefault="003076F0" w:rsidP="00F6712D">
      <w:r>
        <w:separator/>
      </w:r>
    </w:p>
  </w:footnote>
  <w:footnote w:type="continuationSeparator" w:id="0">
    <w:p w:rsidR="003076F0" w:rsidRDefault="003076F0"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10"/>
  </w:num>
  <w:num w:numId="5">
    <w:abstractNumId w:val="7"/>
  </w:num>
  <w:num w:numId="6">
    <w:abstractNumId w:val="11"/>
  </w:num>
  <w:num w:numId="7">
    <w:abstractNumId w:val="3"/>
  </w:num>
  <w:num w:numId="8">
    <w:abstractNumId w:val="0"/>
  </w:num>
  <w:num w:numId="9">
    <w:abstractNumId w:val="12"/>
  </w:num>
  <w:num w:numId="10">
    <w:abstractNumId w:val="8"/>
  </w:num>
  <w:num w:numId="11">
    <w:abstractNumId w:val="1"/>
  </w:num>
  <w:num w:numId="12">
    <w:abstractNumId w:val="2"/>
  </w:num>
  <w:num w:numId="13">
    <w:abstractNumId w:val="6"/>
  </w:num>
  <w:num w:numId="14">
    <w:abstractNumId w:val="14"/>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3076F0"/>
    <w:rsid w:val="003B0019"/>
    <w:rsid w:val="003E3571"/>
    <w:rsid w:val="004501B3"/>
    <w:rsid w:val="00520234"/>
    <w:rsid w:val="005A5C96"/>
    <w:rsid w:val="005B59F7"/>
    <w:rsid w:val="0066091A"/>
    <w:rsid w:val="006D6204"/>
    <w:rsid w:val="008B256F"/>
    <w:rsid w:val="00AE0187"/>
    <w:rsid w:val="00B5150C"/>
    <w:rsid w:val="00C1317D"/>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E5F7A0D-9E3E-4D49-BD69-C2B1A1FE97A5}"/>
</file>

<file path=customXml/itemProps2.xml><?xml version="1.0" encoding="utf-8"?>
<ds:datastoreItem xmlns:ds="http://schemas.openxmlformats.org/officeDocument/2006/customXml" ds:itemID="{5060E885-3B77-4755-84D5-5896D0C167B4}"/>
</file>

<file path=customXml/itemProps3.xml><?xml version="1.0" encoding="utf-8"?>
<ds:datastoreItem xmlns:ds="http://schemas.openxmlformats.org/officeDocument/2006/customXml" ds:itemID="{2C93108F-E966-41C3-8AC0-CEAD686EC329}"/>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2012-04-20T10:07:00Z</dcterms:created>
  <dcterms:modified xsi:type="dcterms:W3CDTF">2012-04-20T10:07:00Z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